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E4D78"/>
          <w:sz w:val="40"/>
          <w:szCs w:val="40"/>
        </w:rPr>
        <w:t xml:space="preserve">FAQ: Best Home AI Machines for Local LLMs</w:t>
      </w:r>
    </w:p>
    <w:p>
      <w:pPr>
        <w:spacing w:after="80"/>
        <w:jc w:val="center"/>
      </w:pPr>
      <w:r>
        <w:rPr>
          <w:rFonts w:ascii="Arial" w:cs="Arial" w:eastAsia="Arial" w:hAnsi="Arial"/>
          <w:color w:val="555555"/>
          <w:sz w:val="20"/>
          <w:szCs w:val="20"/>
        </w:rPr>
        <w:t xml:space="preserve">NVIDIA DGX Spark • AMD Strix Halo • Apple Mac Studio • Tenstorrent QuietBox 2</w:t>
      </w:r>
    </w:p>
    <w:p>
      <w:pPr>
        <w:spacing w:after="300"/>
        <w:jc w:val="center"/>
      </w:pPr>
      <w:r>
        <w:rPr>
          <w:rFonts w:ascii="Arial" w:cs="Arial" w:eastAsia="Arial" w:hAnsi="Arial"/>
          <w:i/>
          <w:iCs/>
          <w:color w:val="666666"/>
          <w:sz w:val="20"/>
          <w:szCs w:val="20"/>
        </w:rPr>
        <w:t xml:space="preserve">Comprehensive Comparison as of June 2026</w:t>
      </w:r>
    </w:p>
    <w:p>
      <w:pPr>
        <w:spacing w:after="200"/>
      </w:pPr>
      <w:r>
        <w:rPr>
          <w:sz w:val="21"/>
          <w:szCs w:val="21"/>
        </w:rPr>
        <w:t xml:space="preserve">This FAQ summarizes the leading compact, high-performance systems for running large language models (LLMs) locally at home. These machines stand out due to massive unified or high-bandwidth memory, efficient AI accelerators, and practicality for 24/7 operation. The focus is on inference, agentic workloads, fine-tuning prototypes, and self-hosted AI sovereignty — key for platforms like OpenClaw and Wizwam.</w:t>
      </w:r>
    </w:p>
    <w:p>
      <w:pPr>
        <w:spacing w:after="200"/>
      </w:pPr>
      <w:r>
        <w:rPr>
          <w:i/>
          <w:iCs/>
          <w:color w:val="555555"/>
          <w:sz w:val="20"/>
          <w:szCs w:val="20"/>
        </w:rPr>
        <w:t xml:space="preserve">Performance numbers are approximate and depend heavily on quantization (e.g., FP4/INT4, MXFP4, Q4_K_M), backend (llama.cpp, vLLM, TRT-LLM, MLX, TT-Metal), model architecture (dense vs. MoE), context length, and optimizations. Always benchmark your specific workloads. Prices fluctuate; check current resellers.</w:t>
      </w:r>
    </w:p>
    <w:p>
      <w:pPr>
        <w:pStyle w:val="Heading1"/>
      </w:pPr>
      <w:r>
        <w:t xml:space="preserve">Quick Specs &amp; Comparison Table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00"/>
        <w:gridCol w:w="1980"/>
        <w:gridCol w:w="1980"/>
        <w:gridCol w:w="1980"/>
        <w:gridCol w:w="1980"/>
      </w:tblGrid>
      <w:tr>
        <w:tc>
          <w:tcPr>
            <w:tcW w:type="dxa" w:w="2100"/>
            <w:tcBorders>
              <w:top w:val="single" w:color="1E4D78" w:sz="1"/>
              <w:left w:val="single" w:color="1E4D78" w:sz="1"/>
              <w:bottom w:val="single" w:color="1E4D78" w:sz="1"/>
              <w:right w:val="single" w:color="1E4D78" w:sz="1"/>
            </w:tcBorders>
            <w:shd w:fill="1E4D78" w:val="clear"/>
            <w:tcMar>
              <w:top w:type="dxa" w:w="60"/>
              <w:left w:type="dxa" w:w="80"/>
              <w:bottom w:type="dxa" w:w="60"/>
              <w:right w:type="dxa" w:w="80"/>
            </w:tcMar>
            <w:vAlign w:val="center"/>
          </w:tcPr>
          <w:p>
            <w:pPr>
              <w:jc w:val="center"/>
            </w:pPr>
            <w:r>
              <w:rPr>
                <w:rFonts w:ascii="Arial" w:cs="Arial" w:eastAsia="Arial" w:hAnsi="Arial"/>
                <w:b/>
                <w:bCs/>
                <w:color w:val="FFFFFF"/>
                <w:sz w:val="18"/>
                <w:szCs w:val="18"/>
              </w:rPr>
              <w:t xml:space="preserve">Aspect</w:t>
            </w:r>
          </w:p>
        </w:tc>
        <w:tc>
          <w:tcPr>
            <w:tcW w:type="dxa" w:w="1980"/>
            <w:tcBorders>
              <w:top w:val="single" w:color="1E4D78" w:sz="1"/>
              <w:left w:val="single" w:color="1E4D78" w:sz="1"/>
              <w:bottom w:val="single" w:color="1E4D78" w:sz="1"/>
              <w:right w:val="single" w:color="1E4D78" w:sz="1"/>
            </w:tcBorders>
            <w:shd w:fill="1E4D78" w:val="clear"/>
            <w:tcMar>
              <w:top w:type="dxa" w:w="60"/>
              <w:left w:type="dxa" w:w="80"/>
              <w:bottom w:type="dxa" w:w="60"/>
              <w:right w:type="dxa" w:w="80"/>
            </w:tcMar>
            <w:vAlign w:val="center"/>
          </w:tcPr>
          <w:p>
            <w:pPr>
              <w:jc w:val="center"/>
            </w:pPr>
            <w:r>
              <w:rPr>
                <w:rFonts w:ascii="Arial" w:cs="Arial" w:eastAsia="Arial" w:hAnsi="Arial"/>
                <w:b/>
                <w:bCs/>
                <w:color w:val="FFFFFF"/>
                <w:sz w:val="18"/>
                <w:szCs w:val="18"/>
              </w:rPr>
              <w:t xml:space="preserve">NVIDIA DGX Spark</w:t>
            </w:r>
          </w:p>
        </w:tc>
        <w:tc>
          <w:tcPr>
            <w:tcW w:type="dxa" w:w="1980"/>
            <w:tcBorders>
              <w:top w:val="single" w:color="1E4D78" w:sz="1"/>
              <w:left w:val="single" w:color="1E4D78" w:sz="1"/>
              <w:bottom w:val="single" w:color="1E4D78" w:sz="1"/>
              <w:right w:val="single" w:color="1E4D78" w:sz="1"/>
            </w:tcBorders>
            <w:shd w:fill="1E4D78" w:val="clear"/>
            <w:tcMar>
              <w:top w:type="dxa" w:w="60"/>
              <w:left w:type="dxa" w:w="80"/>
              <w:bottom w:type="dxa" w:w="60"/>
              <w:right w:type="dxa" w:w="80"/>
            </w:tcMar>
            <w:vAlign w:val="center"/>
          </w:tcPr>
          <w:p>
            <w:pPr>
              <w:jc w:val="center"/>
            </w:pPr>
            <w:r>
              <w:rPr>
                <w:rFonts w:ascii="Arial" w:cs="Arial" w:eastAsia="Arial" w:hAnsi="Arial"/>
                <w:b/>
                <w:bCs/>
                <w:color w:val="FFFFFF"/>
                <w:sz w:val="18"/>
                <w:szCs w:val="18"/>
              </w:rPr>
              <w:t xml:space="preserve">AMD Strix Halo (Minisforum)</w:t>
            </w:r>
          </w:p>
        </w:tc>
        <w:tc>
          <w:tcPr>
            <w:tcW w:type="dxa" w:w="1980"/>
            <w:tcBorders>
              <w:top w:val="single" w:color="1E4D78" w:sz="1"/>
              <w:left w:val="single" w:color="1E4D78" w:sz="1"/>
              <w:bottom w:val="single" w:color="1E4D78" w:sz="1"/>
              <w:right w:val="single" w:color="1E4D78" w:sz="1"/>
            </w:tcBorders>
            <w:shd w:fill="1E4D78" w:val="clear"/>
            <w:tcMar>
              <w:top w:type="dxa" w:w="60"/>
              <w:left w:type="dxa" w:w="80"/>
              <w:bottom w:type="dxa" w:w="60"/>
              <w:right w:type="dxa" w:w="80"/>
            </w:tcMar>
            <w:vAlign w:val="center"/>
          </w:tcPr>
          <w:p>
            <w:pPr>
              <w:jc w:val="center"/>
            </w:pPr>
            <w:r>
              <w:rPr>
                <w:rFonts w:ascii="Arial" w:cs="Arial" w:eastAsia="Arial" w:hAnsi="Arial"/>
                <w:b/>
                <w:bCs/>
                <w:color w:val="FFFFFF"/>
                <w:sz w:val="18"/>
                <w:szCs w:val="18"/>
              </w:rPr>
              <w:t xml:space="preserve">Apple Mac Studio</w:t>
            </w:r>
          </w:p>
        </w:tc>
        <w:tc>
          <w:tcPr>
            <w:tcW w:type="dxa" w:w="1980"/>
            <w:tcBorders>
              <w:top w:val="single" w:color="1E4D78" w:sz="1"/>
              <w:left w:val="single" w:color="1E4D78" w:sz="1"/>
              <w:bottom w:val="single" w:color="1E4D78" w:sz="1"/>
              <w:right w:val="single" w:color="1E4D78" w:sz="1"/>
            </w:tcBorders>
            <w:shd w:fill="1E4D78" w:val="clear"/>
            <w:tcMar>
              <w:top w:type="dxa" w:w="60"/>
              <w:left w:type="dxa" w:w="80"/>
              <w:bottom w:type="dxa" w:w="60"/>
              <w:right w:type="dxa" w:w="80"/>
            </w:tcMar>
            <w:vAlign w:val="center"/>
          </w:tcPr>
          <w:p>
            <w:pPr>
              <w:jc w:val="center"/>
            </w:pPr>
            <w:r>
              <w:rPr>
                <w:rFonts w:ascii="Arial" w:cs="Arial" w:eastAsia="Arial" w:hAnsi="Arial"/>
                <w:b/>
                <w:bCs/>
                <w:color w:val="FFFFFF"/>
                <w:sz w:val="18"/>
                <w:szCs w:val="18"/>
              </w:rPr>
              <w:t xml:space="preserve">Tenstorrent QuietBox 2</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Price (USD) — Flagship / High-End Config</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~$4,699 (standard 128GB/4TB flagship model)</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~$2,300–$2,600 (top 128GB configs)</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$2,000 base → ~$14,099 fully maxed (M3 Ultra 512GB + 16TB)</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~$9,999+ (main 4× Blackhole config)</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Memory</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128 GB LPDDR5x unified</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128 GB LPDDR5x-8000 unified</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Up to 512 GB unified (M3 Ultra)</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128 GB GDDR6 + 256 GB DDR5 = 384 GB effective</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Bandwidth</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273 GB/s</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~215–256 GB/s practical</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Up to 819 GB/s (M3 Ultra)</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High (GDDR6 + massive on-chip SRAM)</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AI Compute</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Up to 1 PFLOP FP4 (Blackwell)</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~126 TOPS total (40 CU iGPU + NPU)</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High Neural Engine + GPU cores</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480 Tensix cores (4× Blackhole)</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Form Factor</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Ultra-compact (palm-sized router)</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Compact mini-PC (~22×20×8 cm)</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Compact desktop, very quiet</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Desktop workstation, liquid-cooled, quiet</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Power (TDP)</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~140W (efficient)</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Configurable, ~120W+ typical</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Extremely efficient</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~1,400W full load</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Software</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DGX OS (Ubuntu) + full CUDA</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Win11 or Linux (ROCm/Vulkan)</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macOS + Metal/MLX</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Fully open-source TT-Metal (RISC-V)</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Largest Models</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~200B single; 405B dual-cluster</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120B+ (strong on MoE)</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Very large (high mem configs)</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120B+ full precision feasible</w:t>
            </w:r>
          </w:p>
        </w:tc>
      </w:tr>
      <w:tr>
        <w:tc>
          <w:tcPr>
            <w:tcW w:type="dxa" w:w="2100"/>
            <w:tcBorders>
              <w:top w:val="single" w:color="1E4D78" w:sz="1"/>
              <w:left w:val="single" w:color="1E4D78" w:sz="1"/>
              <w:bottom w:val="single" w:color="1E4D78" w:sz="1"/>
              <w:right w:val="single" w:color="1E4D78" w:sz="1"/>
            </w:tcBorders>
            <w:shd w:fill="F0F7FC" w:val="clear"/>
            <w:tcMar>
              <w:top w:type="dxa" w:w="60"/>
              <w:left w:type="dxa" w:w="80"/>
              <w:bottom w:type="dxa" w:w="60"/>
              <w:right w:type="dxa" w:w="80"/>
            </w:tcMar>
            <w:vAlign w:val="center"/>
          </w:tcPr>
          <w:p>
            <w:pPr>
              <w:jc w:val="left"/>
            </w:pPr>
            <w:r>
              <w:rPr>
                <w:rFonts w:ascii="Arial" w:cs="Arial" w:eastAsia="Arial" w:hAnsi="Arial"/>
                <w:b/>
                <w:bCs/>
                <w:color w:val="FFFFFF"/>
                <w:sz w:val="18"/>
                <w:szCs w:val="18"/>
              </w:rPr>
              <w:t xml:space="preserve">Example Perf (70-120B)</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~38–45+ tok/s (120B MXFP4)</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40–60+ tok/s (optimized MoE); lower on dense</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Often highest (20–70+ tok/s on 70B)</w:t>
            </w:r>
          </w:p>
        </w:tc>
        <w:tc>
          <w:tcPr>
            <w:tcW w:type="dxa" w:w="1980"/>
            <w:tcBorders>
              <w:top w:val="single" w:color="CCCCCC" w:sz="1"/>
              <w:left w:val="single" w:color="CCCCCC" w:sz="1"/>
              <w:bottom w:val="single" w:color="CCCCCC" w:sz="1"/>
              <w:right w:val="single" w:color="CCCCCC" w:sz="1"/>
            </w:tcBorders>
            <w:tcMar>
              <w:top w:type="dxa" w:w="60"/>
              <w:left w:type="dxa" w:w="80"/>
              <w:bottom w:type="dxa" w:w="60"/>
              <w:right w:type="dxa" w:w="80"/>
            </w:tcMar>
            <w:vAlign w:val="center"/>
          </w:tcPr>
          <w:p>
            <w:pPr>
              <w:jc w:val="left"/>
            </w:pPr>
            <w:r>
              <w:rPr>
                <w:rFonts w:ascii="Arial" w:cs="Arial" w:eastAsia="Arial" w:hAnsi="Arial"/>
                <w:b w:val="false"/>
                <w:bCs w:val="false"/>
                <w:color w:val="333333"/>
                <w:sz w:val="18"/>
                <w:szCs w:val="18"/>
              </w:rPr>
              <w:t xml:space="preserve">~500 tok/s on 70B; 350+ on very large context</w:t>
            </w:r>
          </w:p>
        </w:tc>
      </w:tr>
    </w:tbl>
    <w:p>
      <w:pPr>
        <w:spacing w:after="200" w:before="200"/>
      </w:pPr>
      <w:r>
        <w:rPr>
          <w:b/>
          <w:bCs/>
          <w:sz w:val="19"/>
          <w:szCs w:val="19"/>
        </w:rPr>
        <w:t xml:space="preserve">Note: </w:t>
      </w:r>
      <w:r>
        <w:rPr>
          <w:color w:val="444444"/>
          <w:sz w:val="19"/>
          <w:szCs w:val="19"/>
        </w:rPr>
        <w:t xml:space="preserve">Strix Halo and DGX Spark offer true unified memory (CPU+GPU coherent). Mac and Tenstorrent provide high effective capacity via bandwidth + SRAM/GDDR. All excel vs. traditional discrete GPU desktops for large models without constant swapping.</w:t>
      </w:r>
    </w:p>
    <w:p>
      <w:pPr>
        <w:pStyle w:val="Heading1"/>
      </w:pPr>
      <w:r>
        <w:t xml:space="preserve">Top Recommendations by Priority</w:t>
      </w:r>
    </w:p>
    <w:p>
      <w:pPr>
        <w:pStyle w:val="ListParagraph"/>
        <w:numPr>
          <w:ilvl w:val="0"/>
          <w:numId w:val="2"/>
        </w:numPr>
        <w:spacing w:after="80"/>
      </w:pPr>
      <w:r>
        <w:rPr>
          <w:b/>
          <w:bCs/>
        </w:rPr>
        <w:t xml:space="preserve">Best overall value &amp; versatility: </w:t>
      </w:r>
      <w:r>
        <w:t xml:space="preserve">AMD Strix Halo 128 GB mini-PC (e.g. Minisforum MS-S1 Max). Lowest price for full 128 GB unified, x86 flexibility, strong MoE performance, expandable. Ideal daily driver + AI box.</w:t>
      </w:r>
    </w:p>
    <w:p>
      <w:pPr>
        <w:pStyle w:val="ListParagraph"/>
        <w:numPr>
          <w:ilvl w:val="0"/>
          <w:numId w:val="2"/>
        </w:numPr>
        <w:spacing w:after="80"/>
      </w:pPr>
      <w:r>
        <w:rPr>
          <w:b/>
          <w:bCs/>
        </w:rPr>
        <w:t xml:space="preserve">Best CUDA ecosystem &amp; agent reliability: </w:t>
      </w:r>
      <w:r>
        <w:t xml:space="preserve">NVIDIA DGX Spark. Mature stack, excellent prompt processing, consistent under load, easy clustering. Dual setup for frontier-scale local models. Great for OpenClaw-style agent teams needing CUDA tools.</w:t>
      </w:r>
    </w:p>
    <w:p>
      <w:pPr>
        <w:pStyle w:val="ListParagraph"/>
        <w:numPr>
          <w:ilvl w:val="0"/>
          <w:numId w:val="2"/>
        </w:numPr>
        <w:spacing w:after="80"/>
      </w:pPr>
      <w:r>
        <w:rPr>
          <w:b/>
          <w:bCs/>
        </w:rPr>
        <w:t xml:space="preserve">Best raw inference speed &amp; efficiency: </w:t>
      </w:r>
      <w:r>
        <w:t xml:space="preserve">Apple Mac Studio (high-memory M3 Ultra or M4 Max). Bandwidth king for long context and sustained high tok/s. Extremely quiet and power-efficient. Choose if macOS/Metal fits your workflow.</w:t>
      </w:r>
    </w:p>
    <w:p>
      <w:pPr>
        <w:pStyle w:val="ListParagraph"/>
        <w:numPr>
          <w:ilvl w:val="0"/>
          <w:numId w:val="2"/>
        </w:numPr>
        <w:spacing w:after="80"/>
      </w:pPr>
      <w:r>
        <w:rPr>
          <w:b/>
          <w:bCs/>
        </w:rPr>
        <w:t xml:space="preserve">Best open-source high-performance inference: </w:t>
      </w:r>
      <w:r>
        <w:t xml:space="preserve">Tenstorrent QuietBox 2. Outstanding throughput, SRAM advantage for large-context/agentic workloads, fully open stack, high effective memory. Liquid-cooled and quiet for desk use. Premium price but top-tier perf.</w:t>
      </w:r>
    </w:p>
    <w:p>
      <w:pPr>
        <w:pStyle w:val="ListParagraph"/>
        <w:numPr>
          <w:ilvl w:val="0"/>
          <w:numId w:val="2"/>
        </w:numPr>
        <w:spacing w:after="200"/>
      </w:pPr>
      <w:r>
        <w:rPr>
          <w:b/>
          <w:bCs/>
        </w:rPr>
        <w:t xml:space="preserve">For your Linux/Arch + local agents setup: </w:t>
      </w:r>
      <w:r>
        <w:t xml:space="preserve">DGX Spark (Ubuntu + CUDA consistency for agents) or Strix Halo (excellent native Linux support + value). Tenstorrent if you want maximum open inference speed and are willing to adapt the stack. All support self-hosted sovereignty better than cloud reliance.</w:t>
      </w:r>
    </w:p>
    <w:p>
      <w:pPr>
        <w:pStyle w:val="Heading1"/>
      </w:pPr>
      <w:r>
        <w:t xml:space="preserve">Frequently Asked Questions</w:t>
      </w:r>
    </w:p>
    <w:p>
      <w:pPr>
        <w:pStyle w:val="Heading2"/>
      </w:pPr>
      <w:r>
        <w:t xml:space="preserve">Q1: Which machine is best for running the absolute largest models (120B–405B) consistently under load?</w:t>
      </w:r>
    </w:p>
    <w:p>
      <w:pPr>
        <w:spacing w:after="120"/>
      </w:pPr>
      <w:r>
        <w:rPr>
          <w:sz w:val="21"/>
          <w:szCs w:val="21"/>
        </w:rPr>
        <w:t xml:space="preserve">For single-unit use, the Tenstorrent QuietBox 2 and high-memory Apple Mac Studio (M3 Ultra 256–512 GB) offer the highest effective capacity and sustained speeds, especially for long-context or less-quantized models, thanks to superior bandwidth and on-chip SRAM (Tenstorrent) or raw unified memory (Mac). The DGX Spark handles up to ~200B well and scales nicely by clustering two units for 405B-parameter models via high-speed networking. Strix Halo 128 GB excels with MoE architectures (e.g. many Qwen/Mixtral variants) but can hit bandwidth walls on dense 70B+ models.</w:t>
      </w:r>
    </w:p>
    <w:p>
      <w:pPr>
        <w:spacing w:after="120"/>
      </w:pPr>
      <w:r>
        <w:rPr>
          <w:b/>
          <w:bCs/>
          <w:i/>
          <w:iCs/>
        </w:rPr>
        <w:t xml:space="preserve">Nuance: </w:t>
      </w:r>
      <w:r>
        <w:rPr>
          <w:color w:val="444444"/>
          <w:sz w:val="20"/>
          <w:szCs w:val="20"/>
        </w:rPr>
        <w:t xml:space="preserve">Consistency under sustained load (high batch, long sessions, agent loops) favors machines with mature software stacks and good thermals. DGX and Mac generally require less tweaking. All these systems are designed for 24/7 home use and stay reasonably cool/quiet compared to multi-GPU towers.</w:t>
      </w:r>
    </w:p>
    <w:p>
      <w:pPr>
        <w:pStyle w:val="Heading2"/>
      </w:pPr>
      <w:r>
        <w:t xml:space="preserve">Q2: How important is unified memory vs. high bandwidth + SRAM?</w:t>
      </w:r>
    </w:p>
    <w:p>
      <w:pPr>
        <w:spacing w:after="120"/>
      </w:pPr>
      <w:r>
        <w:rPr>
          <w:sz w:val="21"/>
          <w:szCs w:val="21"/>
        </w:rPr>
        <w:t xml:space="preserve">Unified memory (DGX Spark, Strix Halo, Mac Studio) lets the CPU and GPU share the entire pool coherently — critical for large models without expensive PCIe swapping or complex sharding. This is why these machines outperform traditional discrete-GPU desktops for 70B+ inference. Tenstorrent uses a hybrid approach with fast GDDR6 on the accelerators plus system RAM and enormous on-chip SRAM per core, which pipelines extremely well for inference and large context. In practice, QuietBox 2 and high-end Mac often deliver the highest tokens/second on real workloads because bandwidth is frequently the limiter, not just raw capacity.</w:t>
      </w:r>
    </w:p>
    <w:p>
      <w:pPr>
        <w:pStyle w:val="Heading2"/>
      </w:pPr>
      <w:r>
        <w:t xml:space="preserve">Q3: Which has the most mature software ecosystem for developers and agent builders?</w:t>
      </w:r>
    </w:p>
    <w:p>
      <w:pPr>
        <w:spacing w:after="120"/>
      </w:pPr>
      <w:r>
        <w:rPr>
          <w:sz w:val="21"/>
          <w:szCs w:val="21"/>
        </w:rPr>
        <w:t xml:space="preserve">NVIDIA DGX Spark wins for maturity and breadth. Full CUDA, TensorRT-LLM, vLLM, NeMo, and the entire NVIDIA AI Enterprise stack work out-of-the-box on DGX OS (Ubuntu-based). This translates to the most reliable experience for complex agent orchestration, tool use, fine-tuning prototypes, and production-like serving. Strix Halo is very good on Linux with ROCm or the often-faster community Vulkan backend. Apple’s Metal/MLX is excellent and highly optimized for inference (sometimes beating others in tokens/second). Tenstorrent’s fully open TT-Metal stack is powerful and sovereignty-friendly but currently narrower — best if your workloads fit its strengths (large-context inference, specific optimized models).</w:t>
      </w:r>
    </w:p>
    <w:p>
      <w:pPr>
        <w:pStyle w:val="Heading2"/>
      </w:pPr>
      <w:r>
        <w:t xml:space="preserve">Q4: What about power, noise, and 24/7 home operation?</w:t>
      </w:r>
    </w:p>
    <w:p>
      <w:pPr>
        <w:spacing w:after="120"/>
      </w:pPr>
      <w:r>
        <w:rPr>
          <w:sz w:val="21"/>
          <w:szCs w:val="21"/>
        </w:rPr>
        <w:t xml:space="preserve">All four options are far more practical for home use than traditional multi-GPU workstations. The Mac Studio is famously silent and power-sipping. The QuietBox 2 is liquid-cooled and explicitly designed to be “whisper-quiet” on a desk. DGX Spark is ultra-compact with modest ~140W draw. Strix Halo mini-PCs run cool enough with good case airflow (dual-fan models like Minisforum are solid). None will dominate your electricity bill or require a dedicated noisy room. For agent fleets running continuously, factor in idle power and choose based on your tolerance for fan noise during peak loads.</w:t>
      </w:r>
    </w:p>
    <w:p>
      <w:pPr>
        <w:pStyle w:val="Heading2"/>
      </w:pPr>
      <w:r>
        <w:t xml:space="preserve">Q5: How do these compare for Linux users running custom agent platforms (e.g. OpenClaw, local LLMs, voice/TTS)?</w:t>
      </w:r>
    </w:p>
    <w:p>
      <w:pPr>
        <w:spacing w:after="120"/>
      </w:pPr>
      <w:r>
        <w:rPr>
          <w:sz w:val="21"/>
          <w:szCs w:val="21"/>
        </w:rPr>
        <w:t xml:space="preserve">DGX Spark (Ubuntu-based) and Strix Halo (excellent Arch Linux / Hyprland compatibility) are the strongest here. You get native package management, easy Docker/Podman, cron jobs, audio routing (Pulse/PipeWire), NAS integrations, and full control. Tenstorrent’s open stack can work well on Linux but may require more initial bring-up. Mac Studio is least ideal unless you’re already deep in the Apple ecosystem or willing to run Linux VMs/containers for the heavy lifting. For self-hosted sovereignty and tight integration with tools like Home Assistant, NAS, Signal bots, or custom voice pipelines, the x86 or Ubuntu options shine.</w:t>
      </w:r>
    </w:p>
    <w:p>
      <w:pPr>
        <w:pStyle w:val="Heading2"/>
      </w:pPr>
      <w:r>
        <w:t xml:space="preserve">Q6: Is the Tenstorrent QuietBox 2 worth the premium price?</w:t>
      </w:r>
    </w:p>
    <w:p>
      <w:pPr>
        <w:spacing w:after="120"/>
      </w:pPr>
      <w:r>
        <w:rPr>
          <w:sz w:val="21"/>
          <w:szCs w:val="21"/>
        </w:rPr>
        <w:t xml:space="preserve">It depends on your priorities. If you want maximum inference throughput, outstanding large-context performance, a fully open RISC-V-based stack, and don’t mind the higher cost, yes — it delivers class-leading tokens/second and is purpose-built for exactly the workloads many local AI enthusiasts care about. If you need broad CUDA tooling, the lowest price for 128 GB unified, or macOS-style silence + efficiency, the other options may be better value. Many users are watching Tenstorrent closely as the software ecosystem matures.</w:t>
      </w:r>
    </w:p>
    <w:p>
      <w:pPr>
        <w:pStyle w:val="Heading2"/>
      </w:pPr>
      <w:r>
        <w:t xml:space="preserve">Q7: What are the main trade-offs and edge cases to consider?</w:t>
      </w:r>
    </w:p>
    <w:p>
      <w:pPr>
        <w:spacing w:after="80"/>
      </w:pPr>
      <w:r>
        <w:rPr>
          <w:b/>
          <w:bCs/>
          <w:sz w:val="21"/>
          <w:szCs w:val="21"/>
        </w:rPr>
        <w:t xml:space="preserve">Trade-offs:</w:t>
      </w:r>
    </w:p>
    <w:p>
      <w:pPr>
        <w:pStyle w:val="ListParagraph"/>
        <w:numPr>
          <w:ilvl w:val="0"/>
          <w:numId w:val="2"/>
        </w:numPr>
      </w:pPr>
      <w:r>
        <w:rPr>
          <w:b/>
          <w:bCs/>
        </w:rPr>
        <w:t xml:space="preserve">Ecosystem lock-in vs. openness: </w:t>
      </w:r>
      <w:r>
        <w:t xml:space="preserve">CUDA (DGX) is most polished but proprietary. ROCm/Vulkan (Strix) and Metal (Mac) are good. TT-Metal is fully open but narrower.</w:t>
      </w:r>
    </w:p>
    <w:p>
      <w:pPr>
        <w:pStyle w:val="ListParagraph"/>
        <w:numPr>
          <w:ilvl w:val="0"/>
          <w:numId w:val="2"/>
        </w:numPr>
      </w:pPr>
      <w:r>
        <w:rPr>
          <w:b/>
          <w:bCs/>
        </w:rPr>
        <w:t xml:space="preserve">Peak speed vs. consistency: </w:t>
      </w:r>
      <w:r>
        <w:t xml:space="preserve">Tenstorrent and high-end Mac often win raw tok/s; DGX wins reliable, low-maintenance operation for diverse agent workloads.</w:t>
      </w:r>
    </w:p>
    <w:p>
      <w:pPr>
        <w:pStyle w:val="ListParagraph"/>
        <w:numPr>
          <w:ilvl w:val="0"/>
          <w:numId w:val="2"/>
        </w:numPr>
      </w:pPr>
      <w:r>
        <w:rPr>
          <w:b/>
          <w:bCs/>
        </w:rPr>
        <w:t xml:space="preserve">Dense vs. MoE models: </w:t>
      </w:r>
      <w:r>
        <w:t xml:space="preserve">Strix Halo and Tenstorrent particularly strong on MoE; all handle dense models but bandwidth matters more for dense.</w:t>
      </w:r>
    </w:p>
    <w:p>
      <w:pPr>
        <w:pStyle w:val="ListParagraph"/>
        <w:numPr>
          <w:ilvl w:val="0"/>
          <w:numId w:val="2"/>
        </w:numPr>
        <w:spacing w:after="120"/>
      </w:pPr>
      <w:r>
        <w:rPr>
          <w:b/>
          <w:bCs/>
        </w:rPr>
        <w:t xml:space="preserve">Future-proofing: </w:t>
      </w:r>
      <w:r>
        <w:t xml:space="preserve">Higher memory configs (Mac Ultra, QuietBox, dual DGX) age better for ever-larger models. Clustering options exist on DGX and potentially others.</w:t>
      </w:r>
    </w:p>
    <w:p>
      <w:pPr>
        <w:spacing w:after="80"/>
      </w:pPr>
      <w:r>
        <w:rPr>
          <w:b/>
          <w:bCs/>
          <w:sz w:val="21"/>
          <w:szCs w:val="21"/>
        </w:rPr>
        <w:t xml:space="preserve">Edge cases:</w:t>
      </w:r>
    </w:p>
    <w:p>
      <w:pPr>
        <w:pStyle w:val="ListParagraph"/>
        <w:numPr>
          <w:ilvl w:val="0"/>
          <w:numId w:val="2"/>
        </w:numPr>
      </w:pPr>
      <w:r>
        <w:t xml:space="preserve">Fine-tuning / LoRA: NVIDIA and AMD generally more mature; Mac and Tenstorrent improving rapidly for inference-focused fine-tunes.</w:t>
      </w:r>
    </w:p>
    <w:p>
      <w:pPr>
        <w:pStyle w:val="ListParagraph"/>
        <w:numPr>
          <w:ilvl w:val="0"/>
          <w:numId w:val="2"/>
        </w:numPr>
      </w:pPr>
      <w:r>
        <w:t xml:space="preserve">Image/video generation or multimodal: Varies — check specific model support (e.g. Flux, Stable Video, LLaVA). CUDA often has broadest support today.</w:t>
      </w:r>
    </w:p>
    <w:p>
      <w:pPr>
        <w:pStyle w:val="ListParagraph"/>
        <w:numPr>
          <w:ilvl w:val="0"/>
          <w:numId w:val="2"/>
        </w:numPr>
      </w:pPr>
      <w:r>
        <w:t xml:space="preserve">Multi-user serving or high concurrency: Look at vLLM / TGI support and memory headroom. QuietBox and high-mem Mac have advantages here.</w:t>
      </w:r>
    </w:p>
    <w:p>
      <w:pPr>
        <w:pStyle w:val="ListParagraph"/>
        <w:numPr>
          <w:ilvl w:val="0"/>
          <w:numId w:val="2"/>
        </w:numPr>
        <w:spacing w:after="200"/>
      </w:pPr>
      <w:r>
        <w:t xml:space="preserve">Driver stability under sustained load: DGX and Mac tend to be most “set and forget.” Strix Halo benefits from community kernels; Tenstorrent is still maturing in some areas.</w:t>
      </w:r>
    </w:p>
    <w:p>
      <w:pPr>
        <w:pStyle w:val="Heading1"/>
      </w:pPr>
      <w:r>
        <w:t xml:space="preserve">Final Thoughts</w:t>
      </w:r>
    </w:p>
    <w:p>
      <w:pPr>
        <w:spacing w:after="160"/>
      </w:pPr>
      <w:r>
        <w:rPr>
          <w:sz w:val="21"/>
          <w:szCs w:val="21"/>
        </w:rPr>
        <w:t xml:space="preserve">There is no single “best” machine — it depends on your primary workloads, budget, preferred OS/ecosystem, and whether you value raw speed, consistency, openness, or value most. For many local AI builders focused on agents, sovereignty, and 24/7 reliability, the DGX Spark and Strix Halo 128 GB configs currently offer the sweetest spots. The Mac Studio and Tenstorrent QuietBox 2 push the envelope on performance and are worth serious consideration if inference throughput or open stacks are your top priority.</w:t>
      </w:r>
    </w:p>
    <w:p>
      <w:pPr>
        <w:spacing w:after="160"/>
      </w:pPr>
      <w:r>
        <w:rPr>
          <w:b/>
          <w:bCs/>
        </w:rPr>
        <w:t xml:space="preserve">Recommendation: </w:t>
      </w:r>
      <w:r>
        <w:rPr>
          <w:sz w:val="21"/>
          <w:szCs w:val="21"/>
        </w:rPr>
        <w:t xml:space="preserve">If you already have or are considering a DGX Spark, it remains an excellent, undervalued choice for consistent agentic work. Pairing it with (or considering) a Strix Halo box gives you both CUDA reliability and x86/Linux flexibility at reasonable cost. Test your specific models and agent loops on the hardware you have access to — real-world results with your quantization and orchestration stack matter more than synthetic benchmarks.</w:t>
      </w:r>
    </w:p>
    <w:p>
      <w:pPr>
        <w:spacing w:after="120"/>
      </w:pPr>
      <w:r>
        <w:rPr>
          <w:b/>
          <w:bCs/>
          <w:i/>
          <w:iCs/>
        </w:rPr>
        <w:t xml:space="preserve">Sources &amp; Further Reading: </w:t>
      </w:r>
      <w:r>
        <w:rPr>
          <w:color w:val="555555"/>
          <w:sz w:val="19"/>
          <w:szCs w:val="19"/>
        </w:rPr>
        <w:t xml:space="preserve">Community benchmarks on r/LocalLLaMA, Level1Techs, ServeTheHome, official NVIDIA/AMD/Apple/Tenstorrent specs and updates (as of June 2026), plus hands-on reports from users running production-like local LLM workloads.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Summary for local LLM enthusiasts and agent builders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Home AI Hardware FAQ  •  June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1E4D78"/>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80" w:before="16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2026-06-06T20:21:07.399Z</dcterms:created>
  <dcterms:modified xsi:type="dcterms:W3CDTF">2026-06-06T20:21:07.399Z</dcterms:modified>
</cp:coreProperties>
</file>

<file path=docProps/custom.xml><?xml version="1.0" encoding="utf-8"?>
<Properties xmlns="http://schemas.openxmlformats.org/officeDocument/2006/custom-properties" xmlns:vt="http://schemas.openxmlformats.org/officeDocument/2006/docPropsVTypes"/>
</file>